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оцифровала почти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всех кадастровых дел 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Перевод документов в «цифру» позволит повысить скорость проведения регистрационных действий, в том числе, экстерриториально  </w:t>
      </w: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>
        <w:rPr>
          <w:rFonts w:ascii="Times New Roman" w:hAnsi="Times New Roman" w:cs="Times New Roman"/>
          <w:b/>
          <w:sz w:val="28"/>
          <w:szCs w:val="28"/>
        </w:rPr>
        <w:t>304 тыс.</w:t>
      </w:r>
      <w:r>
        <w:rPr>
          <w:rFonts w:ascii="Times New Roman" w:hAnsi="Times New Roman" w:cs="Times New Roman"/>
          <w:b/>
          <w:sz w:val="28"/>
        </w:rPr>
        <w:t xml:space="preserve"> кадастровых дел,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почти 50%</w:t>
      </w:r>
      <w:r>
        <w:rPr>
          <w:rFonts w:ascii="Times New Roman" w:hAnsi="Times New Roman" w:cs="Times New Roman"/>
          <w:b/>
          <w:sz w:val="28"/>
        </w:rPr>
        <w:t xml:space="preserve"> от всех кадастровых документов, находящихся на хранении в архиве учреждения. Перевод документов в «цифру» позволит оперативно оказывать учетно-регистрационные услуги, в том числе вне зависимости от месторасположения объекта недвижимости, то есть экстерриториально.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хранящихся документов в электронный вид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перекомплектацию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кадастровых дел, сканирование бумажных документов с последующей загрузкой в хранилище.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ретроконверсии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наличие электронного образа документа, заверенного </w:t>
      </w:r>
      <w:r>
        <w:rPr>
          <w:rFonts w:ascii="Times New Roman" w:hAnsi="Times New Roman" w:cs="Times New Roman"/>
          <w:sz w:val="28"/>
        </w:rPr>
        <w:t xml:space="preserve">личной электронной подписью специалиста архива Кадастровой палаты.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документы из архива Кадастровой палаты при проведении сделок с недвижимостью, а также для урегулирования земельных споров. 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</w:t>
      </w:r>
      <w:r>
        <w:rPr>
          <w:rFonts w:ascii="Times New Roman" w:hAnsi="Times New Roman" w:cs="Times New Roman"/>
          <w:sz w:val="28"/>
        </w:rPr>
        <w:lastRenderedPageBreak/>
        <w:t xml:space="preserve">установленное разрешенное использование участка и изменение назначения здания или помещения.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 вследствие уничтожения лишних документов. Ожидается, что значительно сократится объем хранящихся архивных дел и, соответственно, время на поиски нужной информации по запросам. Во-вторых, создание электронного архива позволит в полной мере получать сведения по экстерриториальному принципу – в офисе Кадастровой палаты или МФЦ, вне зависимости от того, в каком регионе находится объект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филиала Кадастровой палаты по Волгоградской области Наталья Бирюлькина.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</w:t>
      </w:r>
      <w:r>
        <w:rPr>
          <w:rFonts w:ascii="Times New Roman" w:hAnsi="Times New Roman" w:cs="Times New Roman"/>
          <w:sz w:val="28"/>
        </w:rPr>
        <w:t xml:space="preserve"> такую же юридическую силу, что и бумажный. Выдача сведений из архива занимает не более трех рабочих дней.</w:t>
      </w: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86" w:rsidRDefault="00A44086" w:rsidP="00ED30C5">
      <w:pPr>
        <w:spacing w:after="0" w:line="240" w:lineRule="auto"/>
      </w:pPr>
      <w:r>
        <w:separator/>
      </w:r>
    </w:p>
  </w:endnote>
  <w:endnote w:type="continuationSeparator" w:id="0">
    <w:p w:rsidR="00A44086" w:rsidRDefault="00A44086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86" w:rsidRDefault="00A44086" w:rsidP="00ED30C5">
      <w:pPr>
        <w:spacing w:after="0" w:line="240" w:lineRule="auto"/>
      </w:pPr>
      <w:r>
        <w:separator/>
      </w:r>
    </w:p>
  </w:footnote>
  <w:footnote w:type="continuationSeparator" w:id="0">
    <w:p w:rsidR="00A44086" w:rsidRDefault="00A44086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8791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B576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627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1E7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8791A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44086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614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278-C9AA-4D80-BD22-DADE753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2020-01-14T07:53:00Z</dcterms:created>
  <dcterms:modified xsi:type="dcterms:W3CDTF">2020-01-14T08:33:00Z</dcterms:modified>
</cp:coreProperties>
</file>